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E1CA" w14:textId="58EA7BF5" w:rsidR="009E16BD" w:rsidRPr="009E16BD" w:rsidRDefault="009E16BD" w:rsidP="009E16BD">
      <w:pPr>
        <w:spacing w:line="480" w:lineRule="auto"/>
        <w:jc w:val="center"/>
        <w:rPr>
          <w:rFonts w:asciiTheme="minorHAnsi" w:hAnsiTheme="minorHAnsi" w:cstheme="minorBidi"/>
          <w:color w:val="2F5496" w:themeColor="accent1" w:themeShade="BF"/>
        </w:rPr>
      </w:pPr>
      <w:r>
        <w:rPr>
          <w:noProof/>
        </w:rPr>
        <w:drawing>
          <wp:inline distT="0" distB="0" distL="0" distR="0" wp14:anchorId="5E67E8A8" wp14:editId="04B311F8">
            <wp:extent cx="1105786" cy="1105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15" cy="11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DBEC" w14:textId="4EFCB6E0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8" w:history="1">
        <w:r w:rsidR="009E16BD" w:rsidRPr="009E16BD">
          <w:rPr>
            <w:rStyle w:val="Hyperlink"/>
            <w:rFonts w:ascii="Arial Narrow" w:hAnsi="Arial Narrow"/>
            <w:color w:val="2F5496" w:themeColor="accent1" w:themeShade="BF"/>
            <w:sz w:val="28"/>
            <w:szCs w:val="28"/>
          </w:rPr>
          <w:t>English Learners DCL (PDF) (ed.gov)</w:t>
        </w:r>
      </w:hyperlink>
    </w:p>
    <w:p w14:paraId="50008398" w14:textId="70F473EB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9" w:history="1">
        <w:r w:rsidR="009E16BD" w:rsidRPr="009E16BD">
          <w:rPr>
            <w:rStyle w:val="Hyperlink"/>
            <w:rFonts w:ascii="Arial Narrow" w:hAnsi="Arial Narrow"/>
            <w:color w:val="2F5496" w:themeColor="accent1" w:themeShade="BF"/>
            <w:sz w:val="28"/>
            <w:szCs w:val="28"/>
          </w:rPr>
          <w:t>Raise the Bar: Lead the World | U.S. Department of Education</w:t>
        </w:r>
      </w:hyperlink>
    </w:p>
    <w:p w14:paraId="6D0FEDF0" w14:textId="3C327A99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10" w:history="1">
        <w:r w:rsidR="009E16BD" w:rsidRPr="009E16BD">
          <w:rPr>
            <w:rStyle w:val="Hyperlink"/>
            <w:rFonts w:ascii="Arial Narrow" w:hAnsi="Arial Narrow"/>
            <w:color w:val="2F5496" w:themeColor="accent1" w:themeShade="BF"/>
            <w:sz w:val="28"/>
            <w:szCs w:val="28"/>
          </w:rPr>
          <w:t>Home | NCELA - English Language Acquisition &amp; Language Instruction Educational Programs</w:t>
        </w:r>
      </w:hyperlink>
    </w:p>
    <w:p w14:paraId="7A58C8E5" w14:textId="77777777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11" w:history="1">
        <w:r w:rsidR="009E16BD" w:rsidRPr="009E16BD">
          <w:rPr>
            <w:rStyle w:val="Hyperlink"/>
            <w:rFonts w:ascii="Arial Narrow" w:eastAsia="Times New Roman" w:hAnsi="Arial Narrow"/>
            <w:color w:val="2F5496" w:themeColor="accent1" w:themeShade="BF"/>
            <w:sz w:val="28"/>
            <w:szCs w:val="28"/>
          </w:rPr>
          <w:t xml:space="preserve">The Biennial Report to Congress </w:t>
        </w:r>
        <w:proofErr w:type="gramStart"/>
        <w:r w:rsidR="009E16BD" w:rsidRPr="009E16BD">
          <w:rPr>
            <w:rStyle w:val="Hyperlink"/>
            <w:rFonts w:ascii="Arial Narrow" w:eastAsia="Times New Roman" w:hAnsi="Arial Narrow"/>
            <w:color w:val="2F5496" w:themeColor="accent1" w:themeShade="BF"/>
            <w:sz w:val="28"/>
            <w:szCs w:val="28"/>
          </w:rPr>
          <w:t>On</w:t>
        </w:r>
        <w:proofErr w:type="gramEnd"/>
        <w:r w:rsidR="009E16BD" w:rsidRPr="009E16BD">
          <w:rPr>
            <w:rStyle w:val="Hyperlink"/>
            <w:rFonts w:ascii="Arial Narrow" w:eastAsia="Times New Roman" w:hAnsi="Arial Narrow"/>
            <w:color w:val="2F5496" w:themeColor="accent1" w:themeShade="BF"/>
            <w:sz w:val="28"/>
            <w:szCs w:val="28"/>
          </w:rPr>
          <w:t xml:space="preserve"> the Implementation of the Title III State Formula Grant Program, School Years 2018–2020 (ed.gov)</w:t>
        </w:r>
      </w:hyperlink>
    </w:p>
    <w:p w14:paraId="3B1FE311" w14:textId="77777777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12" w:history="1">
        <w:r w:rsidR="009E16BD" w:rsidRPr="009E16BD">
          <w:rPr>
            <w:rStyle w:val="Hyperlink"/>
            <w:rFonts w:ascii="Arial Narrow" w:eastAsia="Times New Roman" w:hAnsi="Arial Narrow"/>
            <w:color w:val="2F5496" w:themeColor="accent1" w:themeShade="BF"/>
            <w:sz w:val="28"/>
            <w:szCs w:val="28"/>
          </w:rPr>
          <w:t>Infographics | NCELA - English Language Acquisition &amp; Language Instruction Educational Programs</w:t>
        </w:r>
      </w:hyperlink>
    </w:p>
    <w:p w14:paraId="5156CFFA" w14:textId="2ECA28CF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13" w:history="1">
        <w:r w:rsidR="009E16BD" w:rsidRPr="009E16BD">
          <w:rPr>
            <w:rStyle w:val="Hyperlink"/>
            <w:color w:val="2F5496" w:themeColor="accent1" w:themeShade="BF"/>
            <w:sz w:val="28"/>
            <w:szCs w:val="28"/>
          </w:rPr>
          <w:t>Resources_Main.docx (</w:t>
        </w:r>
        <w:proofErr w:type="spellStart"/>
        <w:proofErr w:type="gramStart"/>
        <w:r w:rsidR="009E16BD" w:rsidRPr="009E16BD">
          <w:rPr>
            <w:rStyle w:val="Hyperlink"/>
            <w:color w:val="2F5496" w:themeColor="accent1" w:themeShade="BF"/>
            <w:sz w:val="28"/>
            <w:szCs w:val="28"/>
          </w:rPr>
          <w:t>socio.events</w:t>
        </w:r>
        <w:proofErr w:type="spellEnd"/>
        <w:proofErr w:type="gramEnd"/>
        <w:r w:rsidR="009E16BD" w:rsidRPr="009E16BD">
          <w:rPr>
            <w:rStyle w:val="Hyperlink"/>
            <w:color w:val="2F5496" w:themeColor="accent1" w:themeShade="BF"/>
            <w:sz w:val="28"/>
            <w:szCs w:val="28"/>
          </w:rPr>
          <w:t>)</w:t>
        </w:r>
      </w:hyperlink>
      <w:r w:rsidR="009E16BD" w:rsidRPr="009E16BD">
        <w:rPr>
          <w:rFonts w:ascii="Arial Narrow" w:eastAsia="Times New Roman" w:hAnsi="Arial Narrow"/>
          <w:color w:val="2F5496" w:themeColor="accent1" w:themeShade="BF"/>
          <w:sz w:val="28"/>
          <w:szCs w:val="28"/>
        </w:rPr>
        <w:t xml:space="preserve"> National Convening Resources </w:t>
      </w:r>
    </w:p>
    <w:p w14:paraId="0A758AA2" w14:textId="2DD00EF3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14" w:history="1">
        <w:r w:rsidR="009E16BD" w:rsidRPr="009E16BD">
          <w:rPr>
            <w:rStyle w:val="Hyperlink"/>
            <w:rFonts w:ascii="Arial Narrow" w:eastAsia="Times New Roman" w:hAnsi="Arial Narrow"/>
            <w:color w:val="2F5496" w:themeColor="accent1" w:themeShade="BF"/>
            <w:sz w:val="28"/>
            <w:szCs w:val="28"/>
          </w:rPr>
          <w:t>Newcomer Toolkit (ed.gov)</w:t>
        </w:r>
      </w:hyperlink>
      <w:r w:rsidR="009E16BD" w:rsidRPr="009E16BD">
        <w:rPr>
          <w:rFonts w:ascii="Arial Narrow" w:eastAsia="Times New Roman" w:hAnsi="Arial Narrow"/>
          <w:color w:val="2F5496" w:themeColor="accent1" w:themeShade="BF"/>
          <w:sz w:val="28"/>
          <w:szCs w:val="28"/>
        </w:rPr>
        <w:t>  (updated version June 2023)</w:t>
      </w:r>
    </w:p>
    <w:p w14:paraId="5A54100A" w14:textId="5911DE94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15" w:history="1">
        <w:r w:rsidR="009E16BD" w:rsidRPr="009E16BD">
          <w:rPr>
            <w:rStyle w:val="Hyperlink"/>
            <w:rFonts w:ascii="Arial Narrow" w:eastAsia="Times New Roman" w:hAnsi="Arial Narrow"/>
            <w:color w:val="2F5496" w:themeColor="accent1" w:themeShade="BF"/>
            <w:sz w:val="28"/>
            <w:szCs w:val="28"/>
          </w:rPr>
          <w:t>Raise the Bar: Create Pathways for Global Engagement | U.S. Department of Education</w:t>
        </w:r>
      </w:hyperlink>
    </w:p>
    <w:p w14:paraId="1D94CAD4" w14:textId="06445B49" w:rsidR="009E16BD" w:rsidRPr="009E16BD" w:rsidRDefault="00BF5387" w:rsidP="009E16BD">
      <w:pPr>
        <w:numPr>
          <w:ilvl w:val="0"/>
          <w:numId w:val="1"/>
        </w:numPr>
        <w:spacing w:line="48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</w:rPr>
      </w:pPr>
      <w:hyperlink r:id="rId16" w:history="1">
        <w:r w:rsidR="009E16BD" w:rsidRPr="009E16BD">
          <w:rPr>
            <w:rStyle w:val="Hyperlink"/>
            <w:rFonts w:ascii="Arial Narrow" w:hAnsi="Arial Narrow"/>
            <w:color w:val="2F5496" w:themeColor="accent1" w:themeShade="BF"/>
            <w:sz w:val="28"/>
            <w:szCs w:val="28"/>
          </w:rPr>
          <w:t>Signup Form (constantcontactpages.com)</w:t>
        </w:r>
      </w:hyperlink>
    </w:p>
    <w:p w14:paraId="040CC9C0" w14:textId="77777777" w:rsidR="009E16BD" w:rsidRDefault="009E16BD"/>
    <w:sectPr w:rsidR="009E16B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A14A" w14:textId="77777777" w:rsidR="009E16BD" w:rsidRDefault="009E16BD" w:rsidP="009E16BD">
      <w:r>
        <w:separator/>
      </w:r>
    </w:p>
  </w:endnote>
  <w:endnote w:type="continuationSeparator" w:id="0">
    <w:p w14:paraId="69CFE788" w14:textId="77777777" w:rsidR="009E16BD" w:rsidRDefault="009E16BD" w:rsidP="009E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A977" w14:textId="77777777" w:rsidR="009E16BD" w:rsidRDefault="009E16BD" w:rsidP="009E16BD">
      <w:r>
        <w:separator/>
      </w:r>
    </w:p>
  </w:footnote>
  <w:footnote w:type="continuationSeparator" w:id="0">
    <w:p w14:paraId="22D50E84" w14:textId="77777777" w:rsidR="009E16BD" w:rsidRDefault="009E16BD" w:rsidP="009E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2E8" w14:textId="638C3059" w:rsidR="009E16BD" w:rsidRDefault="009E16B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27A14C" wp14:editId="4F63A7B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BBCFC5" w14:textId="1593D3CD" w:rsidR="009E16BD" w:rsidRDefault="00BF538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Office of English Language acquisition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27A14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BBCFC5" w14:textId="1593D3CD" w:rsidR="009E16BD" w:rsidRDefault="00BF538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Office of English Language acquisition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4D4"/>
    <w:multiLevelType w:val="hybridMultilevel"/>
    <w:tmpl w:val="42FE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4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BD"/>
    <w:rsid w:val="009E16BD"/>
    <w:rsid w:val="00B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D0EC0"/>
  <w15:chartTrackingRefBased/>
  <w15:docId w15:val="{3D0388EE-65DD-45F3-B047-CBF4055F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6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6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letters/colleague-el-201501.pdf" TargetMode="External"/><Relationship Id="rId13" Type="http://schemas.openxmlformats.org/officeDocument/2006/relationships/hyperlink" Target="https://media.socio.events/small/4/1687413865-2919-resources_mai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cela.ed.gov/resources/oela-resources/infographic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p.constantcontactpages.com/su/nClVg9a/subscribetonex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la.ed.gov/sites/default/files/2023-06/OELABiennialReportSYs2018-20c-50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.gov/raisethebar/pathways-for-global-engagement" TargetMode="External"/><Relationship Id="rId10" Type="http://schemas.openxmlformats.org/officeDocument/2006/relationships/hyperlink" Target="https://ncela.ed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d.gov/raisethebar" TargetMode="External"/><Relationship Id="rId14" Type="http://schemas.openxmlformats.org/officeDocument/2006/relationships/hyperlink" Target="https://ncela.ed.gov/sites/default/files/2023-06/NewcomerToolkit-06222023-508_OE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English Language acquisition</dc:title>
  <dc:subject/>
  <dc:creator>Garibay, Montserrat</dc:creator>
  <cp:keywords/>
  <dc:description/>
  <cp:lastModifiedBy>Cardona, Minnie</cp:lastModifiedBy>
  <cp:revision>2</cp:revision>
  <dcterms:created xsi:type="dcterms:W3CDTF">2023-06-27T11:23:00Z</dcterms:created>
  <dcterms:modified xsi:type="dcterms:W3CDTF">2023-06-27T11:23:00Z</dcterms:modified>
</cp:coreProperties>
</file>